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widowControl/>
        <w:snapToGrid w:val="0"/>
        <w:spacing w:line="600" w:lineRule="exact"/>
        <w:jc w:val="center"/>
        <w:rPr>
          <w:rFonts w:ascii="Times New Roman" w:hAnsi="Times New Roman" w:eastAsia="方正小标宋简体" w:cs="Times New Roman"/>
          <w:color w:val="000000"/>
          <w:kern w:val="0"/>
          <w:sz w:val="44"/>
          <w:szCs w:val="44"/>
        </w:rPr>
      </w:pPr>
      <w:r>
        <w:rPr>
          <w:rFonts w:ascii="Times New Roman" w:hAnsi="Times New Roman" w:eastAsia="方正小标宋简体" w:cs="Times New Roman"/>
          <w:color w:val="000000"/>
          <w:sz w:val="44"/>
          <w:szCs w:val="44"/>
        </w:rPr>
        <w:t>第</w:t>
      </w: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  <w:lang w:eastAsia="zh-CN"/>
        </w:rPr>
        <w:t>六</w:t>
      </w:r>
      <w:r>
        <w:rPr>
          <w:rFonts w:ascii="Times New Roman" w:hAnsi="Times New Roman" w:eastAsia="方正小标宋简体" w:cs="Times New Roman"/>
          <w:color w:val="000000"/>
          <w:sz w:val="44"/>
          <w:szCs w:val="44"/>
        </w:rPr>
        <w:t>届</w:t>
      </w: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  <w:lang w:val="en-US" w:eastAsia="zh-CN"/>
        </w:rPr>
        <w:t>湖南科技学院</w:t>
      </w:r>
      <w:r>
        <w:rPr>
          <w:rFonts w:ascii="Times New Roman" w:hAnsi="Times New Roman" w:eastAsia="方正小标宋简体" w:cs="Times New Roman"/>
          <w:color w:val="000000"/>
          <w:kern w:val="0"/>
          <w:sz w:val="44"/>
          <w:szCs w:val="44"/>
        </w:rPr>
        <w:t>大学生创新创业大赛优秀组织奖评选</w:t>
      </w:r>
      <w:r>
        <w:rPr>
          <w:rFonts w:hint="eastAsia" w:ascii="Times New Roman" w:hAnsi="Times New Roman" w:eastAsia="方正小标宋简体" w:cs="Times New Roman"/>
          <w:color w:val="000000"/>
          <w:kern w:val="0"/>
          <w:sz w:val="44"/>
          <w:szCs w:val="44"/>
          <w:lang w:eastAsia="zh-CN"/>
        </w:rPr>
        <w:t>细</w:t>
      </w:r>
      <w:r>
        <w:rPr>
          <w:rFonts w:ascii="Times New Roman" w:hAnsi="Times New Roman" w:eastAsia="方正小标宋简体" w:cs="Times New Roman"/>
          <w:color w:val="000000"/>
          <w:kern w:val="0"/>
          <w:sz w:val="44"/>
          <w:szCs w:val="44"/>
        </w:rPr>
        <w:t>则</w:t>
      </w:r>
    </w:p>
    <w:p>
      <w:pPr>
        <w:widowControl/>
        <w:snapToGrid w:val="0"/>
        <w:spacing w:line="600" w:lineRule="exact"/>
        <w:jc w:val="center"/>
        <w:rPr>
          <w:rFonts w:ascii="Times New Roman" w:hAnsi="Times New Roman" w:eastAsia="方正小标宋简体" w:cs="Times New Roman"/>
          <w:color w:val="000000"/>
          <w:kern w:val="0"/>
          <w:sz w:val="44"/>
          <w:szCs w:val="44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2"/>
        <w:gridCol w:w="660"/>
        <w:gridCol w:w="10830"/>
        <w:gridCol w:w="1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1612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计分项目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分值</w:t>
            </w:r>
          </w:p>
        </w:tc>
        <w:tc>
          <w:tcPr>
            <w:tcW w:w="1083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计分办法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612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组织机构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1083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1.成立由学院主要领导牵头负责的院赛组织工作委员会计5分；2.安排专人负责大赛组织实施推荐工作计3分；3.按时提交相关材料数据计2分。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612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院级初赛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10830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举办院级初赛（需将初赛方案、相关照片等材料报送至大赛秘书处）计15分。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612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参赛项目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</w:t>
            </w:r>
          </w:p>
        </w:tc>
        <w:tc>
          <w:tcPr>
            <w:tcW w:w="10830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按照各学院参赛项目数（以指定时间节点“互联网+”大赛网报系统数据为准）从高到低依次排名，排名1至4计30分，排名5至8计20分，排名9至14计10分。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612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项目获奖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40</w:t>
            </w:r>
          </w:p>
        </w:tc>
        <w:tc>
          <w:tcPr>
            <w:tcW w:w="10830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校赛一等奖/10分；校赛二等奖/8分；校赛三等奖/6分；校赛优秀奖/4分。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61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其他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0830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积极选派教师、学生项目参加学校大赛相关活动，1分/次。</w:t>
            </w:r>
            <w:bookmarkStart w:id="0" w:name="_GoBack"/>
            <w:bookmarkEnd w:id="0"/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F15728"/>
    <w:rsid w:val="095D52A9"/>
    <w:rsid w:val="10A27BF2"/>
    <w:rsid w:val="14007C95"/>
    <w:rsid w:val="2A0533F1"/>
    <w:rsid w:val="392C2545"/>
    <w:rsid w:val="53F1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2020-05-13T07:16:00Z</dcterms:created>
  <dc:creator>Administrator</dc:creator>
  <cp:lastModifiedBy>Administrator</cp:lastModifiedBy>
  <cp:lastPrinted>2020-05-14T00:52:00Z</cp:lastPrinted>
  <dcterms:modified xsi:type="dcterms:W3CDTF">2020-05-20T01:28:14Z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